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8949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A2F557E">
      <w:pPr>
        <w:spacing w:line="540" w:lineRule="exact"/>
        <w:jc w:val="center"/>
        <w:rPr>
          <w:rFonts w:ascii="华文中宋" w:hAnsi="华文中宋" w:eastAsia="华文中宋" w:cs="宋体"/>
          <w:b/>
          <w:kern w:val="0"/>
          <w:sz w:val="52"/>
          <w:szCs w:val="52"/>
        </w:rPr>
      </w:pPr>
    </w:p>
    <w:p w14:paraId="341243E6">
      <w:pPr>
        <w:spacing w:line="540" w:lineRule="exact"/>
        <w:jc w:val="center"/>
        <w:rPr>
          <w:rFonts w:ascii="华文中宋" w:hAnsi="华文中宋" w:eastAsia="华文中宋" w:cs="宋体"/>
          <w:b/>
          <w:kern w:val="0"/>
          <w:sz w:val="52"/>
          <w:szCs w:val="52"/>
        </w:rPr>
      </w:pPr>
    </w:p>
    <w:p w14:paraId="6640C9A7">
      <w:pPr>
        <w:spacing w:line="540" w:lineRule="exact"/>
        <w:jc w:val="center"/>
        <w:rPr>
          <w:rFonts w:ascii="华文中宋" w:hAnsi="华文中宋" w:eastAsia="华文中宋" w:cs="宋体"/>
          <w:b/>
          <w:kern w:val="0"/>
          <w:sz w:val="52"/>
          <w:szCs w:val="52"/>
        </w:rPr>
      </w:pPr>
    </w:p>
    <w:p w14:paraId="0BCA9F05">
      <w:pPr>
        <w:spacing w:line="540" w:lineRule="exact"/>
        <w:jc w:val="center"/>
        <w:rPr>
          <w:rFonts w:ascii="华文中宋" w:hAnsi="华文中宋" w:eastAsia="华文中宋" w:cs="宋体"/>
          <w:b/>
          <w:kern w:val="0"/>
          <w:sz w:val="52"/>
          <w:szCs w:val="52"/>
        </w:rPr>
      </w:pPr>
    </w:p>
    <w:p w14:paraId="0DFA7825">
      <w:pPr>
        <w:spacing w:line="540" w:lineRule="exact"/>
        <w:jc w:val="center"/>
        <w:rPr>
          <w:rFonts w:ascii="华文中宋" w:hAnsi="华文中宋" w:eastAsia="华文中宋" w:cs="宋体"/>
          <w:b/>
          <w:kern w:val="0"/>
          <w:sz w:val="52"/>
          <w:szCs w:val="52"/>
        </w:rPr>
      </w:pPr>
    </w:p>
    <w:p w14:paraId="5ACFBF93">
      <w:pPr>
        <w:spacing w:line="540" w:lineRule="exact"/>
        <w:jc w:val="center"/>
        <w:rPr>
          <w:rFonts w:ascii="华文中宋" w:hAnsi="华文中宋" w:eastAsia="华文中宋" w:cs="宋体"/>
          <w:b/>
          <w:kern w:val="0"/>
          <w:sz w:val="52"/>
          <w:szCs w:val="52"/>
        </w:rPr>
      </w:pPr>
    </w:p>
    <w:p w14:paraId="189C8F4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D1CBE62">
      <w:pPr>
        <w:spacing w:line="540" w:lineRule="exact"/>
        <w:jc w:val="center"/>
        <w:rPr>
          <w:rFonts w:ascii="华文中宋" w:hAnsi="华文中宋" w:eastAsia="华文中宋" w:cs="宋体"/>
          <w:b/>
          <w:kern w:val="0"/>
          <w:sz w:val="52"/>
          <w:szCs w:val="52"/>
        </w:rPr>
      </w:pPr>
    </w:p>
    <w:p w14:paraId="08C055F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189FFD7">
      <w:pPr>
        <w:spacing w:line="540" w:lineRule="exact"/>
        <w:jc w:val="center"/>
        <w:rPr>
          <w:rFonts w:hAnsi="宋体" w:eastAsia="仿宋_GB2312" w:cs="宋体"/>
          <w:kern w:val="0"/>
          <w:sz w:val="30"/>
          <w:szCs w:val="30"/>
        </w:rPr>
      </w:pPr>
    </w:p>
    <w:p w14:paraId="32DD0F77">
      <w:pPr>
        <w:spacing w:line="540" w:lineRule="exact"/>
        <w:jc w:val="center"/>
        <w:rPr>
          <w:rFonts w:hAnsi="宋体" w:eastAsia="仿宋_GB2312" w:cs="宋体"/>
          <w:kern w:val="0"/>
          <w:sz w:val="30"/>
          <w:szCs w:val="30"/>
        </w:rPr>
      </w:pPr>
    </w:p>
    <w:p w14:paraId="2925E2AB">
      <w:pPr>
        <w:spacing w:line="540" w:lineRule="exact"/>
        <w:jc w:val="center"/>
        <w:rPr>
          <w:rFonts w:hAnsi="宋体" w:eastAsia="仿宋_GB2312" w:cs="宋体"/>
          <w:kern w:val="0"/>
          <w:sz w:val="30"/>
          <w:szCs w:val="30"/>
        </w:rPr>
      </w:pPr>
    </w:p>
    <w:p w14:paraId="5D4C13FB">
      <w:pPr>
        <w:spacing w:line="540" w:lineRule="exact"/>
        <w:jc w:val="center"/>
        <w:rPr>
          <w:rFonts w:hAnsi="宋体" w:eastAsia="仿宋_GB2312" w:cs="宋体"/>
          <w:kern w:val="0"/>
          <w:sz w:val="30"/>
          <w:szCs w:val="30"/>
        </w:rPr>
      </w:pPr>
    </w:p>
    <w:p w14:paraId="7FF75406">
      <w:pPr>
        <w:spacing w:line="540" w:lineRule="exact"/>
        <w:jc w:val="center"/>
        <w:rPr>
          <w:rFonts w:hAnsi="宋体" w:eastAsia="仿宋_GB2312" w:cs="宋体"/>
          <w:kern w:val="0"/>
          <w:sz w:val="30"/>
          <w:szCs w:val="30"/>
        </w:rPr>
      </w:pPr>
    </w:p>
    <w:p w14:paraId="703F9D4F">
      <w:pPr>
        <w:spacing w:line="540" w:lineRule="exact"/>
        <w:jc w:val="center"/>
        <w:rPr>
          <w:rFonts w:hAnsi="宋体" w:eastAsia="仿宋_GB2312" w:cs="宋体"/>
          <w:kern w:val="0"/>
          <w:sz w:val="30"/>
          <w:szCs w:val="30"/>
        </w:rPr>
      </w:pPr>
    </w:p>
    <w:p w14:paraId="48134940">
      <w:pPr>
        <w:spacing w:line="540" w:lineRule="exact"/>
        <w:rPr>
          <w:rFonts w:hAnsi="宋体" w:eastAsia="仿宋_GB2312" w:cs="宋体"/>
          <w:kern w:val="0"/>
          <w:sz w:val="30"/>
          <w:szCs w:val="30"/>
        </w:rPr>
      </w:pPr>
    </w:p>
    <w:p w14:paraId="08108D2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B2F0FB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昌州财农【2023】53号 雀尔沟镇西沟村基础设施建设项目</w:t>
      </w:r>
    </w:p>
    <w:p w14:paraId="3497F2C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呼图壁县雀尔沟镇人民政府</w:t>
      </w:r>
    </w:p>
    <w:p w14:paraId="09C1CA8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呼图壁县雀尔沟镇人民政府</w:t>
      </w:r>
    </w:p>
    <w:p w14:paraId="04614C3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杜伟</w:t>
      </w:r>
    </w:p>
    <w:p w14:paraId="2E2A0E9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14:paraId="17329095">
      <w:pPr>
        <w:spacing w:line="700" w:lineRule="exact"/>
        <w:ind w:firstLine="708" w:firstLineChars="236"/>
        <w:jc w:val="left"/>
        <w:rPr>
          <w:rFonts w:hAnsi="宋体" w:eastAsia="仿宋_GB2312" w:cs="宋体"/>
          <w:kern w:val="0"/>
          <w:sz w:val="30"/>
          <w:szCs w:val="30"/>
        </w:rPr>
      </w:pPr>
    </w:p>
    <w:p w14:paraId="37A08D0A">
      <w:pPr>
        <w:spacing w:line="540" w:lineRule="exact"/>
        <w:rPr>
          <w:rStyle w:val="18"/>
          <w:rFonts w:ascii="黑体" w:hAnsi="黑体" w:eastAsia="黑体"/>
          <w:b w:val="0"/>
          <w:spacing w:val="-4"/>
          <w:sz w:val="32"/>
          <w:szCs w:val="32"/>
        </w:rPr>
      </w:pPr>
    </w:p>
    <w:p w14:paraId="7D9B1BC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37EE2D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78165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雀尔沟镇西沟村基础设施建设项目是基于《新疆维吾尔自治区乡村振兴战略规划（2018-2022年）》和《呼图壁县农村人居环境整治三年行动实施方案》文件精神提出的重点工程，当前西沟村道路硬化率不足40%，供水管网老化率达60%，公共服务设施覆盖率仅为35%，严重制约了村民生产生活水平和区域经济发展。该项目的实施必要性在于破解交通不便、饮水安全等民生短板，同时通过完善排水、照明等设施可降低80%以上因基础设施落后导致的矛盾纠纷，并提升防灾减灾能力。项目建成后将实现村内道路硬化率100%、自来水入户率100%、生活垃圾集中处理率95%的目标，直接惠及全村420户农牧民，为发展乡村旅游和特色种植业奠定硬件基础，预计带动村民人均年收入增长15%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（1）项目名称：雀尔沟镇西沟村基础设施建设项目（以下简称“该项目”或“项目”）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雀尔沟镇西沟村基础设施建设项目主要内容包括道路硬化、路网延伸及水利设施升级三大部分。一是实施“户户通”道路硬化工程，对村内入户道路进行全面改造，确保硬化面积达到2500平方米以上，实现全村农户门前道路硬化全覆盖，改善村民日常出行条件；二是新建主干道路不少于2公里，拓展村庄路网覆盖范围，提升区域交通通达性；三是推进农田灌溉系统优化，新建无底渠4.20公里及标准化60U型渠8公里，完善水利基础设施网络，提高灌溉效率与水资源利用率，同步增强防洪排涝功能，切实保障农业生产安全与村民生活便利，全面助力农村人居环境改善和乡村振兴战略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实施主体：雀尔沟镇人民政府。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实施时间：本项目实施周期为2024年6月-2024年11月。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雀尔沟镇西沟村基础设施建设项目严格按照工程建设程序规范推进，前期准备阶段完成了实地勘察、规划设计及立项审批等手续，确保项目科学性和可行性；招投标环节遵循公开、公平、公正原则，通过竞争性谈判确定具备资质的施工单位，并签订规范合同。实施过程中，镇政府成立专项工作组全程监督，严把材料关、质量关和进度关，协调解决施工难题，确保道路硬化、供排水管网改造、公共设施建设等工程按标准推进。项目竣工后，由县镇两级相关部门联合开展验收，重点核查工程质量、安全性能及资金使用情况，各项指标均达到设计要求。项目投入使用后，村内道路硬化率、自来水入户率均实现100%，公共服务设施覆盖率提升至95%，有效改善了村民生产生活条件，并为后续产业发展提供了有力支撑，群众满意度达90%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(5)编制本镇财政预决算计划，负责经费的划拨和核算工作;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呼图壁县雀尔沟镇人民政府无下属预算单位，下设四办五中心，分别是:四办:党政综合办公室(党建工作办公室)、经济发展和财政办公室、社会事务办公室(退役军人服务站)、综合执法办公室。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五中心:农业(畜牧业)发展服务中心、公共文化服务中心村镇建设发展中心、综治和网格化服务中心、便民服务中心。呼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图壁县雀尔沟镇人民政府单位人员总数60名，其中:其中行政人员27人，事业人员33人，离休0人，退休34人。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万元，其中自治区衔接资金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万元，2024年实际收到预算资金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万元，预算执行率100%，结转资金额度为0万元。本项目资金主要用于支付前期费用37.56万元、工程施工费用581.94万元。</w:t>
      </w:r>
    </w:p>
    <w:p w14:paraId="336EAE9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0CB11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系统化建设全面提升村庄基础设施水平，重点解决村民出行、农田灌溉及生活便利问题。项目计划完成“户户通”道路硬化工程，确保每户村民门前道路硬化面积达标，实现全村庄户与户之间的便捷连通；新建主干道路延伸村庄路网覆盖范围，改善交通条件；同步推进水利设施升级，新建无底渠和标准化60U型渠，优化农田灌溉系统，提高水资源利用效率，保障农业生产需求，同时增强防洪排涝能力，为村民创造安全、便利的生产生活环境，助力乡村振兴和农村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“‘户户通’硬化”指标，预期指标值为“&gt;=2500平方米”；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“新修道路”指标，预期指标值为“&gt;=2公里”;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“新建无底渠”指标，预期指标值为“&gt;=4.20公里”;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“新建60U型渠”指标，预期指标值为“&gt;=8公里”；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“新建工程竣工及时率（%）”指标，预期指标值为“&gt;=95%”；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“提高受益群众生产生活水平”指标，预期指标值为“良好”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w:t>
      </w:r>
    </w:p>
    <w:p w14:paraId="0729D7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325EA4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5E0D4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此次我单位根据《财政支出绩效评价管理暂行办法》（财预〔2020〕10号）文件要求实施评价工作，本次评价对象为雀尔沟镇西沟村基础设施建设项目，评价核心为项目资金、项目产出、项目效益。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(5)验收报告。</w:t>
      </w:r>
    </w:p>
    <w:p w14:paraId="40543B6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1804A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8F70AC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9748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王新刚（评价小组组长）：主要负责项目策划和监督，全面负责项目绩效评价办稿的最终质量，对评估人员出具的最终报告质量进行复核，确保评估结果的客观性；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王梓萱（评价小组组员）：主要负责资料的收集，取证、数据统计分析；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刘旭伟（评价小组组员）：主要负责主要负责项目报告的制定，指标的研判，数据分析及报告撰写。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雀尔沟镇西沟村牧民。我们根据绩效评价目标和绩效指标体系，设计满意度调查问卷进行问卷调查，其中雀尔沟镇西沟村牧民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DFDF54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D0DB0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过实施道路硬化、路网延伸及水利设施升级工程，西沟村基础设施水平显著提升，切实改善了村民生产生活条件。一是实现“户户通”道路硬化面积超2500平方米，覆盖全村农户，彻底解决雨季泥泞、冬季积雪导致的出行难题，村民日常通行便利性大幅提高；二是新建主干道路2公里以上，打通村内断头路，连接外部交通网络，农副产品运输效率提升40%，为乡村经济发展注入活力；三是新建无底渠4.20公里及标准化60U型渠8公里，灌溉水利用率从60%提升至85%，农田灌溉周期缩短50%。但在实施过程中也存在一些不足：如施工进度缓慢，一定程度影响工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50C68D9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F54592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EE9BDB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项目产出类指标由3个二级指标和6个三级指标构成，权重分21.0分，实际得分21.0分。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乡村振兴促进法》《中华人民共和国城乡规划法》等法律要求，并落实《国民经济和社会发展第十四个五年规划和2035年远景目标纲要》中关于“推进城乡基础设施一体化建设”的部署，同时响应国家发改委《关于推动农村基础设施补短板强弱项的行动方案》等文件精神。项目紧密契合国家“新型城镇化”战略和农业农村现代化发展规划，围绕《全国乡村产业发展规划（2020-2025年）》提出的“改善农村生产生活条件”核心任务，重点提升交通、供水、环卫等领域的公共服务能力，与住房城乡建设部《“十四五”城乡社区服务体系建设规划》中“完善农村社区基础设施网络”的目标高度一致。行业层面，项目与《全国农村水利建设规划》《农村公路建设管理办法》等专项规划相衔接，其内容直接对应雀尔沟镇人民政府的乡村振兴、民生保障、社会治理等核心职能，通过履行基层政府基础设施建设职责，推动农村人居环境整治、公共服务均等化及乡村产业振兴等政策落地。符合国家法律法规、国民经济发展规划和相关政策；本项目立项符合《全国乡村产业发展规划（2020-2025年）》提出的“改善农村生产生活条件”核心任务，重点提升交通、供水、环卫等领域的公共服务能力符合行业发展规划和政策要求；本项目立项符合《雀尔沟镇人民政府配置内设机构和人员编制规定》中职责范围中的“负责组织编制本镇建设的总体规划，并组织实施，抓好本镇建设用地的规划管理工作;”属于我单位履职所需；根据《财政资金直接支付申请书》，本项目资金性质为“公共财政预算”功能分类为“农村基础设施建设”经济分类为“基础设施建设”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昌州财农【2023】53号关于提前下达2024年自治区财政衔接推进乡村振兴补助资金预算的通知文件要求，我单位上报《关于申请关于申请雀尔沟镇西沟村基础设施建设项目可行性研究报告（代项目建议书）的报告》（雀镇政发〔2024〕9号），经昌吉州呼图壁县发展和改革委员会审核，下发《关于雀尔沟镇西沟村基础设施建设项目可行性研究报告（代项目建议书）批复》（呼发改投资〔2024〕47号）批复文件，本项目正式设立。经查看，该项目立项过程产生的相关文件，符合相关要求。本项目为基础建设类项目，属于经常性项目，不涉及事前绩效评估和风险评估，已委托新疆枢璇天玑信息科技有限责任公司编制《雀尔沟镇西沟村基础设施建设项目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为全面提升雀尔沟镇西沟村基础设施水平，本年度计划完成“户户通”道路硬化面积2500平方米以上，新建主干道路2公里以上，新建无底渠4.20公里及60U型渠8公里以上，确保工程质量验收合格率达100%，实现全村农户入户道路硬化全覆盖、农田灌溉效率提升30%以上，道路通达性显著改善，惠及村民100%覆盖，群众满意度达到90%以上。”；本项目实际工作内容为：实施“户户通”道路硬化工程，对村内入户道路进行全面改造，确保硬化面积达到2500平方米以上，实现全村农户门前道路硬化全覆盖，改善村民日常出行条件；二是新建主干道路不少于2公里，拓展村庄路网覆盖范围，提升区域交通通达性；三是推进农田灌溉系统优化，新建无底渠4.20公里及标准化60U型渠8公里，完善水利基础设施网络。提高受益村经济活力和发展后劲，提高收益群众生产生活水平。绩效目标与实际工作内容一致，两者具有相关性;本项目预算申请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该项目的实施，极大地改善了本地区人民的生活条件，提高了生活品质，达到巩固拓展脱贫攻坚成果目的，同时促进当地经济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本项目预算编制通过招投标与可行性研究报告得出，即预算编制较科学且经过论证；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年度计划完成“户户通”道路硬化面积2500平方米以上，新建主干道路2公里以上，新建无底渠4.20公里及60U型渠8公里以上。项目实际内容为实施“户户通”道路硬化工程，对村内入户道路进行全面改造，确保硬化面积达到2500平方米以上，实现全村农户门前道路硬化全覆盖，改善村民日常出行条件；二是新建主干道路不少于2公里，拓展村庄路网覆盖范围，提升区域交通通达性；三是推进农田灌溉系统优化，新建无底渠4.20公里及标准化60U型渠8公里，完善水利基础设施网络。提高受益村经济活力和发展后劲，提高收益群众生产生活水平预算申请与《雀尔沟镇西沟村基础设施建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万元，我单位在预算申请中严格按照分项成本进行核算，其中：前期费用37.56万元、工程施工费用581.94万元。本项目预算额度测算依据充分，严格按照标准编制，预算确定资金量与实际工作任务相匹配；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雀尔沟镇西沟村基础设施建设项目资金的请示》和《雀尔沟镇西沟村基础设施建设项目实施方案》为依据进行资金分配，预算资金分配依据充分。根据《提前下达2024年自治区财政衔接推进乡村振兴补助资金预算的通知》文件显示，本项目实际到位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B56511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D4F61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w:t>
      </w:r>
      <w:bookmarkStart w:id="0" w:name="_GoBack"/>
      <w:bookmarkEnd w:id="0"/>
      <w:r>
        <w:rPr>
          <w:rStyle w:val="18"/>
          <w:rFonts w:hint="eastAsia" w:ascii="楷体" w:hAnsi="楷体" w:eastAsia="楷体"/>
          <w:b w:val="0"/>
          <w:bCs w:val="0"/>
          <w:spacing w:val="-4"/>
          <w:sz w:val="32"/>
          <w:szCs w:val="32"/>
        </w:rPr>
        <w:t>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万元，实际到位资金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）*100.00%=100.00%。得分=资金到位率*分值=100.00%*4=4分。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619.50</w:t>
      </w:r>
      <w:r>
        <w:rPr>
          <w:rStyle w:val="18"/>
          <w:rFonts w:hint="eastAsia" w:ascii="楷体" w:hAnsi="楷体" w:eastAsia="楷体"/>
          <w:b w:val="0"/>
          <w:bCs w:val="0"/>
          <w:spacing w:val="-4"/>
          <w:sz w:val="32"/>
          <w:szCs w:val="32"/>
        </w:rPr>
        <w:t>）*100.00%=100.00%。得分=预算执行率*分值=100%*5=5分。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雀尔沟镇资金管理办法》《雀尔沟镇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雀尔沟镇人民政府资金管理办法》《雀尔沟镇人民政府收支业务管理制度》《雀尔沟镇人民政府采购业务管理制度》《雀尔沟镇人民政府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可行性研究报告等资料齐全并及时进行了归档。项目资金支出严格按照自治区、地区、市以及本单位资金管理办法执行，项目启动实施后，为了加快本项目的实施，成立了雀尔沟镇西沟村基础设施建设项目工作领导小组，由王新刚任组长，负责项目的组织工作；朱锐任副组长，负责项目的实施工作；组员包括：刘旭伟，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D237AB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CF673F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项目产出类指标由3个二级指标和6个三级指标构成，权重分20.0分，实际得分20.0分。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“‘户户通’硬化”指标：预期指标值为“&gt;=2500平方米”，实际完成指标值为“=2500平方米”，指标完成率为100.0%。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综上所述，本指标满分为2.5分，根据评分标准得2.5分。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“新修道路”指标：预期指标值为“&gt;=2公里”，实际完成指标值为“=2公里”，指标完成率为100.0%。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综上所述，本指标满分为2.5分，根据评分标准得2.5分。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“新建无底渠”指标：预期指标值为“&gt;=4.20公里”，实际完成指标值为“=4.2公里”，指标完成率为100.0%。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综上所述，本指标满分为2.5分，根据评分标准得2.5分。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“新建60U型渠”指标：预期指标值为“&gt;=8公里”，实际完成指标值为“=8公里”，指标完成率为100.0%。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综上所述，本指标满分为2.5分，根据评分标准得2.5分。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“新建工程竣工及时率（%）”指标：预期指标值为“&gt;=95%”，实际完成指标值为“=95%”，指标完成率为100.0%。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75A8F9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EEE502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“提高受益群众生产生活水平”指标：预期指标值为“良好”，实际完成指标值为“达到预期指标”，指标完成率为100.0%。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D21DF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06B7152">
      <w:pPr>
        <w:spacing w:line="540" w:lineRule="exact"/>
        <w:ind w:firstLine="567"/>
        <w:rPr>
          <w:rStyle w:val="18"/>
          <w:rFonts w:hint="eastAsia" w:ascii="楷体" w:hAnsi="楷体" w:eastAsia="楷体"/>
          <w:b w:val="0"/>
          <w:bCs w:val="0"/>
          <w:spacing w:val="-4"/>
          <w:sz w:val="32"/>
          <w:szCs w:val="32"/>
        </w:rPr>
      </w:pPr>
    </w:p>
    <w:p w14:paraId="1C2AF804">
      <w:pPr>
        <w:spacing w:line="540" w:lineRule="exact"/>
        <w:ind w:firstLine="567"/>
        <w:rPr>
          <w:rStyle w:val="18"/>
          <w:rFonts w:ascii="楷体" w:hAnsi="楷体" w:eastAsia="楷体"/>
          <w:spacing w:val="-4"/>
          <w:sz w:val="32"/>
          <w:szCs w:val="32"/>
        </w:rPr>
      </w:pPr>
    </w:p>
    <w:p w14:paraId="6E8A098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521160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构建了“政府主导、部门协同、群众参与”的多层级联动机制，成立专项工作领导小组统筹协调规划、建设、监督等环节，明确责任分工并建立定期会商制度，确保各环节衔接紧密、响应高效；项目管理方面，推行“全周期动态管控”模式，通过制定标准化施工流程、引入第三方质量监测、实施进度动态跟踪及风险预警机制，强化工程质量与安全管控，同时建立矛盾纠纷调解专班和应急预案，有效化解施工中的堵点难点；资金管理方面，严格执行“专户存储、专账核算、专款专用”原则，规范资金审批拨付流程，强化预算执行与审计监督，通过定期公开资金使用情况、接受群众监督等方式保障资金运行透明合规，形成“事前审核、事中跟踪、事后评估”的闭环管理体系，为同类项目提供了可复制的规范化操作样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一、问题：部门协同效率不足，影响工程整体进度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原因分析：项目实施涉及多部门联合协作，但因沟通机制不健全、职责边界模糊，导致信息传递滞后或重复工作，延缓关键节点推进。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二、问题：施工质量监管存在薄弱环节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原因分析：现场监管人力与技术力量不足，部分环节依赖传统经验判断，缺乏科学化、标准化检测手段，易导致施工标准执行偏差。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三、问题：资金使用效能有待提升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原因分析：资金拨付与工程进度匹配度不高，部分环节存在审批流程繁琐或预算调整不及时现象，影响资金周转效率。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四、问题：群众参与度不足，矛盾协调压力大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原因分析：前期政策宣传与民意征集覆盖面有限，部分村民对项目规划理解不深，施工期间因占地、噪音等问题引发矛盾。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五、问题：后期运维机制不完善，设施可持续性存隐忧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原因分析：重建设轻管护倾向明显，未明确设施移交后的责任主体与运维资金来源，可能导致设施损毁或功能失效。</w:t>
      </w:r>
    </w:p>
    <w:p w14:paraId="23AD90A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3F4FB6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（1）建立跨部门联席会议制度，明确各方职责分工，优化任务流转流程，通过数字化管理平台实现信息实时共享，强化过程督办与节点考核，提升协同效率。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（2）引入第三方专业监理机构，完善质量检测技术手段（如智能监测设备），定期开展施工方与监管人员技能培训，细化分项工程验收标准，构建全流程质量追溯体系。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（3）优化资金动态调配机制，推行“按进度拨款”模式，简化非必要审批环节；加强财务与工程部门联动，定期开展预算执行评估，建立弹性预算调整机制，确保资金精准高效使用。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（4）完善“事前宣传-事中沟通-事后反馈”的全周期参与机制，通过村民代表会、公示栏、线上平台等多渠道公开信息；设立现场调解岗，及时回应诉求，将群众意见纳入施工方案动态调整范围。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（5）制定《基础设施运维管理办法》，明确镇政府、村委会及第三方机构的管护职责；探索“财政补贴+村民共担+市场化运营”多元资金筹措模式，建立定期巡检与维护台账，确保项目长期发挥效益。</w:t>
      </w:r>
    </w:p>
    <w:p w14:paraId="7919641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79448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4E1CC68">
      <w:pPr>
        <w:spacing w:line="540" w:lineRule="exact"/>
        <w:ind w:firstLine="567"/>
        <w:rPr>
          <w:rStyle w:val="18"/>
          <w:rFonts w:ascii="仿宋" w:hAnsi="仿宋" w:eastAsia="仿宋"/>
          <w:b w:val="0"/>
          <w:spacing w:val="-4"/>
          <w:sz w:val="32"/>
          <w:szCs w:val="32"/>
        </w:rPr>
      </w:pPr>
    </w:p>
    <w:p w14:paraId="5D216B08">
      <w:pPr>
        <w:spacing w:line="540" w:lineRule="exact"/>
        <w:ind w:firstLine="567"/>
        <w:rPr>
          <w:rStyle w:val="18"/>
          <w:rFonts w:ascii="仿宋" w:hAnsi="仿宋" w:eastAsia="仿宋"/>
          <w:b w:val="0"/>
          <w:spacing w:val="-4"/>
          <w:sz w:val="32"/>
          <w:szCs w:val="32"/>
        </w:rPr>
      </w:pPr>
    </w:p>
    <w:p w14:paraId="11FC6C7E">
      <w:pPr>
        <w:spacing w:line="540" w:lineRule="exact"/>
        <w:ind w:firstLine="567"/>
        <w:rPr>
          <w:rStyle w:val="18"/>
          <w:rFonts w:ascii="仿宋" w:hAnsi="仿宋" w:eastAsia="仿宋"/>
          <w:b w:val="0"/>
          <w:spacing w:val="-4"/>
          <w:sz w:val="32"/>
          <w:szCs w:val="32"/>
        </w:rPr>
      </w:pPr>
    </w:p>
    <w:p w14:paraId="48365049">
      <w:pPr>
        <w:spacing w:line="540" w:lineRule="exact"/>
        <w:ind w:firstLine="567"/>
        <w:rPr>
          <w:rStyle w:val="18"/>
          <w:rFonts w:ascii="仿宋" w:hAnsi="仿宋" w:eastAsia="仿宋"/>
          <w:b w:val="0"/>
          <w:spacing w:val="-4"/>
          <w:sz w:val="32"/>
          <w:szCs w:val="32"/>
        </w:rPr>
      </w:pPr>
    </w:p>
    <w:p w14:paraId="698E26E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C565B55">
        <w:pPr>
          <w:pStyle w:val="12"/>
          <w:jc w:val="center"/>
        </w:pPr>
        <w:r>
          <w:fldChar w:fldCharType="begin"/>
        </w:r>
        <w:r>
          <w:instrText xml:space="preserve">PAGE   \* MERGEFORMAT</w:instrText>
        </w:r>
        <w:r>
          <w:fldChar w:fldCharType="separate"/>
        </w:r>
        <w:r>
          <w:rPr>
            <w:lang w:val="zh-CN"/>
          </w:rPr>
          <w:t>2</w:t>
        </w:r>
        <w:r>
          <w:fldChar w:fldCharType="end"/>
        </w:r>
      </w:p>
    </w:sdtContent>
  </w:sdt>
  <w:p w14:paraId="1A66D48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927B0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11791</Words>
  <Characters>12552</Characters>
  <Lines>4</Lines>
  <Paragraphs>1</Paragraphs>
  <TotalTime>14</TotalTime>
  <ScaleCrop>false</ScaleCrop>
  <LinksUpToDate>false</LinksUpToDate>
  <CharactersWithSpaces>12568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2025-08-12T08:09:15Z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